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0A14" w14:textId="729CAA66" w:rsidR="007474DD" w:rsidRPr="00907126" w:rsidRDefault="00907126" w:rsidP="00112EC3">
      <w:pPr>
        <w:spacing w:before="240"/>
        <w:rPr>
          <w:rFonts w:ascii="Open Sans" w:hAnsi="Open Sans" w:cs="Open Sans"/>
          <w:sz w:val="32"/>
          <w:szCs w:val="32"/>
        </w:rPr>
      </w:pPr>
      <w:r w:rsidRPr="00907126">
        <w:rPr>
          <w:rFonts w:ascii="Open Sans" w:hAnsi="Open Sans" w:cs="Open Sans"/>
          <w:sz w:val="32"/>
          <w:szCs w:val="32"/>
        </w:rPr>
        <w:t xml:space="preserve">Privacy </w:t>
      </w:r>
      <w:r w:rsidR="0087754B">
        <w:rPr>
          <w:rFonts w:ascii="Open Sans" w:hAnsi="Open Sans" w:cs="Open Sans"/>
          <w:sz w:val="32"/>
          <w:szCs w:val="32"/>
        </w:rPr>
        <w:t>p</w:t>
      </w:r>
      <w:r w:rsidRPr="00907126">
        <w:rPr>
          <w:rFonts w:ascii="Open Sans" w:hAnsi="Open Sans" w:cs="Open Sans"/>
          <w:sz w:val="32"/>
          <w:szCs w:val="32"/>
        </w:rPr>
        <w:t>olicy</w:t>
      </w:r>
      <w:r w:rsidR="0087754B">
        <w:rPr>
          <w:rFonts w:ascii="Open Sans" w:hAnsi="Open Sans" w:cs="Open Sans"/>
          <w:sz w:val="32"/>
          <w:szCs w:val="32"/>
        </w:rPr>
        <w:t xml:space="preserve"> SPOTIUM </w:t>
      </w:r>
    </w:p>
    <w:p w14:paraId="25CEA142" w14:textId="77777777" w:rsidR="00112EC3" w:rsidRDefault="00112EC3" w:rsidP="00FC7E1A">
      <w:pPr>
        <w:jc w:val="both"/>
        <w:rPr>
          <w:rFonts w:ascii="Open Sans" w:hAnsi="Open Sans" w:cs="Open Sans"/>
        </w:rPr>
      </w:pPr>
    </w:p>
    <w:p w14:paraId="7B523C9A" w14:textId="449867B0" w:rsidR="007474DD" w:rsidRPr="00907126" w:rsidRDefault="007474DD" w:rsidP="00FC7E1A">
      <w:pPr>
        <w:jc w:val="both"/>
        <w:rPr>
          <w:rFonts w:ascii="Open Sans" w:hAnsi="Open Sans" w:cs="Open Sans"/>
        </w:rPr>
      </w:pPr>
      <w:r w:rsidRPr="00907126">
        <w:rPr>
          <w:rFonts w:ascii="Open Sans" w:hAnsi="Open Sans" w:cs="Open Sans"/>
        </w:rPr>
        <w:t xml:space="preserve">SICK MOBILISIS d.o.o. </w:t>
      </w:r>
      <w:r w:rsidR="005725F0" w:rsidRPr="00907126">
        <w:rPr>
          <w:rFonts w:ascii="Open Sans" w:hAnsi="Open Sans" w:cs="Open Sans"/>
        </w:rPr>
        <w:t>is pleased about your visit on our website and your interest in our company, in our products and our services. Protecting your privacy is impor</w:t>
      </w:r>
      <w:r w:rsidR="00FC7E1A" w:rsidRPr="00907126">
        <w:rPr>
          <w:rFonts w:ascii="Open Sans" w:hAnsi="Open Sans" w:cs="Open Sans"/>
        </w:rPr>
        <w:t>tant to us and we want you to feel secure while visiting our website. To this end, we would like to explain below what information we process during your visit on our website.</w:t>
      </w:r>
      <w:r w:rsidR="00B41D9D" w:rsidRPr="00907126">
        <w:rPr>
          <w:rFonts w:ascii="Open Sans" w:hAnsi="Open Sans" w:cs="Open Sans"/>
        </w:rPr>
        <w:t xml:space="preserve"> </w:t>
      </w:r>
    </w:p>
    <w:p w14:paraId="77FE6BB0" w14:textId="030D1E0C" w:rsidR="007474DD" w:rsidRPr="006D78CF" w:rsidRDefault="00907126" w:rsidP="007474DD">
      <w:pPr>
        <w:rPr>
          <w:rFonts w:ascii="Open Sans" w:hAnsi="Open Sans" w:cs="Open Sans"/>
          <w:sz w:val="26"/>
          <w:szCs w:val="26"/>
        </w:rPr>
      </w:pPr>
      <w:r w:rsidRPr="006D78CF">
        <w:rPr>
          <w:rFonts w:ascii="Open Sans" w:hAnsi="Open Sans" w:cs="Open Sans"/>
          <w:sz w:val="26"/>
          <w:szCs w:val="26"/>
        </w:rPr>
        <w:t>Online form</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136"/>
        <w:gridCol w:w="6224"/>
      </w:tblGrid>
      <w:tr w:rsidR="00B41D9D" w:rsidRPr="00B41D9D" w14:paraId="27440428" w14:textId="77777777" w:rsidTr="00B41D9D">
        <w:trPr>
          <w:tblCellSpacing w:w="15" w:type="dxa"/>
        </w:trPr>
        <w:tc>
          <w:tcPr>
            <w:tcW w:w="1650" w:type="pct"/>
            <w:tcBorders>
              <w:left w:val="nil"/>
            </w:tcBorders>
            <w:shd w:val="clear" w:color="auto" w:fill="E9E9E9"/>
            <w:tcMar>
              <w:top w:w="150" w:type="dxa"/>
              <w:left w:w="150" w:type="dxa"/>
              <w:bottom w:w="150" w:type="dxa"/>
              <w:right w:w="150" w:type="dxa"/>
            </w:tcMar>
            <w:hideMark/>
          </w:tcPr>
          <w:p w14:paraId="245940CF"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Responsible</w:t>
            </w:r>
          </w:p>
        </w:tc>
        <w:tc>
          <w:tcPr>
            <w:tcW w:w="3300" w:type="pct"/>
            <w:tcBorders>
              <w:left w:val="single" w:sz="6" w:space="0" w:color="EEEFF0"/>
            </w:tcBorders>
            <w:shd w:val="clear" w:color="auto" w:fill="E9E9E9"/>
            <w:tcMar>
              <w:top w:w="150" w:type="dxa"/>
              <w:left w:w="150" w:type="dxa"/>
              <w:bottom w:w="150" w:type="dxa"/>
              <w:right w:w="150" w:type="dxa"/>
            </w:tcMar>
            <w:hideMark/>
          </w:tcPr>
          <w:p w14:paraId="0F180351" w14:textId="78E4B8D3"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907126">
              <w:rPr>
                <w:rFonts w:ascii="Open Sans" w:eastAsia="Times New Roman" w:hAnsi="Open Sans" w:cs="Open Sans"/>
                <w:color w:val="2C3133"/>
                <w:sz w:val="20"/>
                <w:szCs w:val="20"/>
                <w:lang w:eastAsia="hr-HR"/>
              </w:rPr>
              <w:t>SICK MOBILISIS d.o.o., Varaždinska ulica – Odvojak II 7, 42000 Jalkovec (Grad Varaždin), Croatia</w:t>
            </w:r>
          </w:p>
        </w:tc>
      </w:tr>
      <w:tr w:rsidR="00B41D9D" w:rsidRPr="00B41D9D" w14:paraId="694B657B" w14:textId="77777777" w:rsidTr="00B41D9D">
        <w:trPr>
          <w:tblCellSpacing w:w="15" w:type="dxa"/>
        </w:trPr>
        <w:tc>
          <w:tcPr>
            <w:tcW w:w="0" w:type="auto"/>
            <w:tcBorders>
              <w:left w:val="nil"/>
            </w:tcBorders>
            <w:shd w:val="clear" w:color="auto" w:fill="FFFFFF"/>
            <w:tcMar>
              <w:top w:w="150" w:type="dxa"/>
              <w:left w:w="150" w:type="dxa"/>
              <w:bottom w:w="150" w:type="dxa"/>
              <w:right w:w="150" w:type="dxa"/>
            </w:tcMar>
            <w:hideMark/>
          </w:tcPr>
          <w:p w14:paraId="7760422D"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Purpose of processing</w:t>
            </w:r>
          </w:p>
        </w:tc>
        <w:tc>
          <w:tcPr>
            <w:tcW w:w="0" w:type="auto"/>
            <w:tcBorders>
              <w:left w:val="single" w:sz="6" w:space="0" w:color="EEEFF0"/>
            </w:tcBorders>
            <w:shd w:val="clear" w:color="auto" w:fill="FFFFFF"/>
            <w:tcMar>
              <w:top w:w="150" w:type="dxa"/>
              <w:left w:w="150" w:type="dxa"/>
              <w:bottom w:w="150" w:type="dxa"/>
              <w:right w:w="150" w:type="dxa"/>
            </w:tcMar>
            <w:hideMark/>
          </w:tcPr>
          <w:p w14:paraId="42D7BBC6"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Contact by user</w:t>
            </w:r>
          </w:p>
        </w:tc>
      </w:tr>
      <w:tr w:rsidR="00B41D9D" w:rsidRPr="00B41D9D" w14:paraId="1DDE4742" w14:textId="77777777" w:rsidTr="00B41D9D">
        <w:trPr>
          <w:tblCellSpacing w:w="15" w:type="dxa"/>
        </w:trPr>
        <w:tc>
          <w:tcPr>
            <w:tcW w:w="0" w:type="auto"/>
            <w:tcBorders>
              <w:left w:val="nil"/>
            </w:tcBorders>
            <w:shd w:val="clear" w:color="auto" w:fill="E9E9E9"/>
            <w:tcMar>
              <w:top w:w="150" w:type="dxa"/>
              <w:left w:w="150" w:type="dxa"/>
              <w:bottom w:w="150" w:type="dxa"/>
              <w:right w:w="150" w:type="dxa"/>
            </w:tcMar>
            <w:hideMark/>
          </w:tcPr>
          <w:p w14:paraId="0C8115A0"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Categories of data</w:t>
            </w:r>
          </w:p>
        </w:tc>
        <w:tc>
          <w:tcPr>
            <w:tcW w:w="0" w:type="auto"/>
            <w:tcBorders>
              <w:left w:val="single" w:sz="6" w:space="0" w:color="EEEFF0"/>
            </w:tcBorders>
            <w:shd w:val="clear" w:color="auto" w:fill="E9E9E9"/>
            <w:tcMar>
              <w:top w:w="150" w:type="dxa"/>
              <w:left w:w="150" w:type="dxa"/>
              <w:bottom w:w="150" w:type="dxa"/>
              <w:right w:w="150" w:type="dxa"/>
            </w:tcMar>
            <w:hideMark/>
          </w:tcPr>
          <w:p w14:paraId="4F274ADB" w14:textId="77777777" w:rsidR="00B41D9D" w:rsidRPr="00B41D9D" w:rsidRDefault="00B41D9D" w:rsidP="00B41D9D">
            <w:pPr>
              <w:numPr>
                <w:ilvl w:val="0"/>
                <w:numId w:val="1"/>
              </w:num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Business contact data</w:t>
            </w:r>
          </w:p>
          <w:p w14:paraId="316F8216" w14:textId="77777777" w:rsidR="00B41D9D" w:rsidRPr="00B41D9D" w:rsidRDefault="00B41D9D" w:rsidP="00B41D9D">
            <w:pPr>
              <w:numPr>
                <w:ilvl w:val="0"/>
                <w:numId w:val="1"/>
              </w:numPr>
              <w:spacing w:before="45"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Inquiry</w:t>
            </w:r>
          </w:p>
        </w:tc>
      </w:tr>
      <w:tr w:rsidR="00B41D9D" w:rsidRPr="00B41D9D" w14:paraId="652BC053" w14:textId="77777777" w:rsidTr="00B41D9D">
        <w:trPr>
          <w:tblCellSpacing w:w="15" w:type="dxa"/>
        </w:trPr>
        <w:tc>
          <w:tcPr>
            <w:tcW w:w="0" w:type="auto"/>
            <w:tcBorders>
              <w:left w:val="nil"/>
            </w:tcBorders>
            <w:shd w:val="clear" w:color="auto" w:fill="FFFFFF"/>
            <w:tcMar>
              <w:top w:w="150" w:type="dxa"/>
              <w:left w:w="150" w:type="dxa"/>
              <w:bottom w:w="150" w:type="dxa"/>
              <w:right w:w="150" w:type="dxa"/>
            </w:tcMar>
            <w:hideMark/>
          </w:tcPr>
          <w:p w14:paraId="73606A78"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Legal basis</w:t>
            </w:r>
          </w:p>
        </w:tc>
        <w:tc>
          <w:tcPr>
            <w:tcW w:w="0" w:type="auto"/>
            <w:tcBorders>
              <w:left w:val="single" w:sz="6" w:space="0" w:color="EEEFF0"/>
            </w:tcBorders>
            <w:shd w:val="clear" w:color="auto" w:fill="FFFFFF"/>
            <w:tcMar>
              <w:top w:w="150" w:type="dxa"/>
              <w:left w:w="150" w:type="dxa"/>
              <w:bottom w:w="150" w:type="dxa"/>
              <w:right w:w="150" w:type="dxa"/>
            </w:tcMar>
            <w:hideMark/>
          </w:tcPr>
          <w:p w14:paraId="54E15FF9" w14:textId="475F5103"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Art. 6 (1) b) GDPR</w:t>
            </w:r>
          </w:p>
        </w:tc>
      </w:tr>
      <w:tr w:rsidR="00B41D9D" w:rsidRPr="00B41D9D" w14:paraId="1AC69197" w14:textId="77777777" w:rsidTr="00B41D9D">
        <w:trPr>
          <w:tblCellSpacing w:w="15" w:type="dxa"/>
        </w:trPr>
        <w:tc>
          <w:tcPr>
            <w:tcW w:w="0" w:type="auto"/>
            <w:tcBorders>
              <w:left w:val="nil"/>
            </w:tcBorders>
            <w:shd w:val="clear" w:color="auto" w:fill="E9E9E9"/>
            <w:tcMar>
              <w:top w:w="150" w:type="dxa"/>
              <w:left w:w="150" w:type="dxa"/>
              <w:bottom w:w="150" w:type="dxa"/>
              <w:right w:w="150" w:type="dxa"/>
            </w:tcMar>
            <w:hideMark/>
          </w:tcPr>
          <w:p w14:paraId="5A7E2D6E"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Legitimate interest</w:t>
            </w:r>
          </w:p>
        </w:tc>
        <w:tc>
          <w:tcPr>
            <w:tcW w:w="0" w:type="auto"/>
            <w:tcBorders>
              <w:left w:val="single" w:sz="6" w:space="0" w:color="EEEFF0"/>
            </w:tcBorders>
            <w:shd w:val="clear" w:color="auto" w:fill="E9E9E9"/>
            <w:tcMar>
              <w:top w:w="150" w:type="dxa"/>
              <w:left w:w="150" w:type="dxa"/>
              <w:bottom w:w="150" w:type="dxa"/>
              <w:right w:w="150" w:type="dxa"/>
            </w:tcMar>
            <w:hideMark/>
          </w:tcPr>
          <w:p w14:paraId="35A1C9C6"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w:t>
            </w:r>
          </w:p>
        </w:tc>
      </w:tr>
      <w:tr w:rsidR="00B41D9D" w:rsidRPr="00B41D9D" w14:paraId="40F75BE6" w14:textId="77777777" w:rsidTr="00B41D9D">
        <w:trPr>
          <w:tblCellSpacing w:w="15" w:type="dxa"/>
        </w:trPr>
        <w:tc>
          <w:tcPr>
            <w:tcW w:w="0" w:type="auto"/>
            <w:tcBorders>
              <w:left w:val="nil"/>
            </w:tcBorders>
            <w:shd w:val="clear" w:color="auto" w:fill="FFFFFF"/>
            <w:tcMar>
              <w:top w:w="150" w:type="dxa"/>
              <w:left w:w="150" w:type="dxa"/>
              <w:bottom w:w="150" w:type="dxa"/>
              <w:right w:w="150" w:type="dxa"/>
            </w:tcMar>
            <w:hideMark/>
          </w:tcPr>
          <w:p w14:paraId="4ECC0D78"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Consequences of failure to provide the data</w:t>
            </w:r>
          </w:p>
        </w:tc>
        <w:tc>
          <w:tcPr>
            <w:tcW w:w="0" w:type="auto"/>
            <w:tcBorders>
              <w:left w:val="single" w:sz="6" w:space="0" w:color="EEEFF0"/>
            </w:tcBorders>
            <w:shd w:val="clear" w:color="auto" w:fill="FFFFFF"/>
            <w:tcMar>
              <w:top w:w="150" w:type="dxa"/>
              <w:left w:w="150" w:type="dxa"/>
              <w:bottom w:w="150" w:type="dxa"/>
              <w:right w:w="150" w:type="dxa"/>
            </w:tcMar>
            <w:hideMark/>
          </w:tcPr>
          <w:p w14:paraId="052D969B"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The provision of personal data is not prescribed by law. In the event of a failure to provide the data, the fulfilment of the purpose is not possible.</w:t>
            </w:r>
          </w:p>
        </w:tc>
      </w:tr>
      <w:tr w:rsidR="00B41D9D" w:rsidRPr="00B41D9D" w14:paraId="6EAFF39D" w14:textId="77777777" w:rsidTr="00B41D9D">
        <w:trPr>
          <w:tblCellSpacing w:w="15" w:type="dxa"/>
        </w:trPr>
        <w:tc>
          <w:tcPr>
            <w:tcW w:w="0" w:type="auto"/>
            <w:tcBorders>
              <w:left w:val="nil"/>
            </w:tcBorders>
            <w:shd w:val="clear" w:color="auto" w:fill="E9E9E9"/>
            <w:tcMar>
              <w:top w:w="150" w:type="dxa"/>
              <w:left w:w="150" w:type="dxa"/>
              <w:bottom w:w="150" w:type="dxa"/>
              <w:right w:w="150" w:type="dxa"/>
            </w:tcMar>
            <w:hideMark/>
          </w:tcPr>
          <w:p w14:paraId="6C8D6B1B"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Retention time</w:t>
            </w:r>
          </w:p>
        </w:tc>
        <w:tc>
          <w:tcPr>
            <w:tcW w:w="0" w:type="auto"/>
            <w:tcBorders>
              <w:left w:val="single" w:sz="6" w:space="0" w:color="EEEFF0"/>
            </w:tcBorders>
            <w:shd w:val="clear" w:color="auto" w:fill="E9E9E9"/>
            <w:tcMar>
              <w:top w:w="150" w:type="dxa"/>
              <w:left w:w="150" w:type="dxa"/>
              <w:bottom w:w="150" w:type="dxa"/>
              <w:right w:w="150" w:type="dxa"/>
            </w:tcMar>
            <w:hideMark/>
          </w:tcPr>
          <w:p w14:paraId="07259E28" w14:textId="77777777" w:rsidR="00907126" w:rsidRPr="00907126" w:rsidRDefault="00E42220" w:rsidP="00B41D9D">
            <w:pPr>
              <w:spacing w:after="0" w:line="240" w:lineRule="auto"/>
              <w:rPr>
                <w:rFonts w:ascii="Open Sans" w:eastAsia="Times New Roman" w:hAnsi="Open Sans" w:cs="Open Sans"/>
                <w:color w:val="2C3133"/>
                <w:sz w:val="20"/>
                <w:szCs w:val="20"/>
                <w:lang w:eastAsia="hr-HR"/>
              </w:rPr>
            </w:pPr>
            <w:r w:rsidRPr="00907126">
              <w:rPr>
                <w:rFonts w:ascii="Open Sans" w:eastAsia="Times New Roman" w:hAnsi="Open Sans" w:cs="Open Sans"/>
                <w:color w:val="2C3133"/>
                <w:sz w:val="20"/>
                <w:szCs w:val="20"/>
                <w:lang w:eastAsia="hr-HR"/>
              </w:rPr>
              <w:t>We will delete your data</w:t>
            </w:r>
            <w:r w:rsidR="00907126" w:rsidRPr="00907126">
              <w:rPr>
                <w:rFonts w:ascii="Open Sans" w:eastAsia="Times New Roman" w:hAnsi="Open Sans" w:cs="Open Sans"/>
                <w:color w:val="2C3133"/>
                <w:sz w:val="20"/>
                <w:szCs w:val="20"/>
                <w:lang w:eastAsia="hr-HR"/>
              </w:rPr>
              <w:t>:</w:t>
            </w:r>
            <w:r w:rsidRPr="00907126">
              <w:rPr>
                <w:rFonts w:ascii="Open Sans" w:eastAsia="Times New Roman" w:hAnsi="Open Sans" w:cs="Open Sans"/>
                <w:color w:val="2C3133"/>
                <w:sz w:val="20"/>
                <w:szCs w:val="20"/>
                <w:lang w:eastAsia="hr-HR"/>
              </w:rPr>
              <w:t xml:space="preserve"> </w:t>
            </w:r>
          </w:p>
          <w:p w14:paraId="16009B5E" w14:textId="77777777" w:rsidR="00B41D9D" w:rsidRPr="00907126" w:rsidRDefault="00907126" w:rsidP="00907126">
            <w:pPr>
              <w:pStyle w:val="ListParagraph"/>
              <w:numPr>
                <w:ilvl w:val="0"/>
                <w:numId w:val="4"/>
              </w:numPr>
              <w:spacing w:after="0" w:line="240" w:lineRule="auto"/>
              <w:rPr>
                <w:rFonts w:ascii="Open Sans" w:eastAsia="Times New Roman" w:hAnsi="Open Sans" w:cs="Open Sans"/>
                <w:color w:val="2C3133"/>
                <w:sz w:val="20"/>
                <w:szCs w:val="20"/>
                <w:lang w:eastAsia="hr-HR"/>
              </w:rPr>
            </w:pPr>
            <w:r w:rsidRPr="00907126">
              <w:rPr>
                <w:rFonts w:ascii="Open Sans" w:eastAsia="Times New Roman" w:hAnsi="Open Sans" w:cs="Open Sans"/>
                <w:color w:val="2C3133"/>
                <w:sz w:val="20"/>
                <w:szCs w:val="20"/>
                <w:lang w:eastAsia="hr-HR"/>
              </w:rPr>
              <w:t>after establishing a business relationship,</w:t>
            </w:r>
          </w:p>
          <w:p w14:paraId="0852E1E0" w14:textId="6DF9FA34" w:rsidR="00907126" w:rsidRPr="00907126" w:rsidRDefault="00907126" w:rsidP="00907126">
            <w:pPr>
              <w:pStyle w:val="ListParagraph"/>
              <w:numPr>
                <w:ilvl w:val="0"/>
                <w:numId w:val="4"/>
              </w:numPr>
              <w:spacing w:after="0" w:line="240" w:lineRule="auto"/>
              <w:rPr>
                <w:rFonts w:ascii="Open Sans" w:eastAsia="Times New Roman" w:hAnsi="Open Sans" w:cs="Open Sans"/>
                <w:color w:val="2C3133"/>
                <w:sz w:val="20"/>
                <w:szCs w:val="20"/>
                <w:lang w:eastAsia="hr-HR"/>
              </w:rPr>
            </w:pPr>
            <w:r w:rsidRPr="00907126">
              <w:rPr>
                <w:rFonts w:ascii="Open Sans" w:eastAsia="Times New Roman" w:hAnsi="Open Sans" w:cs="Open Sans"/>
                <w:color w:val="2C3133"/>
                <w:sz w:val="20"/>
                <w:szCs w:val="20"/>
                <w:lang w:eastAsia="hr-HR"/>
              </w:rPr>
              <w:t xml:space="preserve">after 12 months if the business relationship is not established. </w:t>
            </w:r>
          </w:p>
        </w:tc>
      </w:tr>
      <w:tr w:rsidR="00B41D9D" w:rsidRPr="00B41D9D" w14:paraId="4D1A0E68" w14:textId="77777777" w:rsidTr="00B41D9D">
        <w:trPr>
          <w:tblCellSpacing w:w="15" w:type="dxa"/>
        </w:trPr>
        <w:tc>
          <w:tcPr>
            <w:tcW w:w="0" w:type="auto"/>
            <w:tcBorders>
              <w:left w:val="nil"/>
            </w:tcBorders>
            <w:shd w:val="clear" w:color="auto" w:fill="FFFFFF"/>
            <w:tcMar>
              <w:top w:w="150" w:type="dxa"/>
              <w:left w:w="150" w:type="dxa"/>
              <w:bottom w:w="150" w:type="dxa"/>
              <w:right w:w="150" w:type="dxa"/>
            </w:tcMar>
            <w:hideMark/>
          </w:tcPr>
          <w:p w14:paraId="6F21B270"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Data source</w:t>
            </w:r>
          </w:p>
        </w:tc>
        <w:tc>
          <w:tcPr>
            <w:tcW w:w="0" w:type="auto"/>
            <w:tcBorders>
              <w:left w:val="single" w:sz="6" w:space="0" w:color="EEEFF0"/>
            </w:tcBorders>
            <w:shd w:val="clear" w:color="auto" w:fill="FFFFFF"/>
            <w:tcMar>
              <w:top w:w="150" w:type="dxa"/>
              <w:left w:w="150" w:type="dxa"/>
              <w:bottom w:w="150" w:type="dxa"/>
              <w:right w:w="150" w:type="dxa"/>
            </w:tcMar>
            <w:hideMark/>
          </w:tcPr>
          <w:p w14:paraId="7AC75BCF"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We only process personal data provided directly by you.</w:t>
            </w:r>
          </w:p>
        </w:tc>
      </w:tr>
      <w:tr w:rsidR="00B41D9D" w:rsidRPr="0017570D" w14:paraId="6A432A36" w14:textId="77777777" w:rsidTr="00B87C53">
        <w:trPr>
          <w:trHeight w:val="20"/>
          <w:tblCellSpacing w:w="15" w:type="dxa"/>
        </w:trPr>
        <w:tc>
          <w:tcPr>
            <w:tcW w:w="0" w:type="auto"/>
            <w:tcBorders>
              <w:left w:val="nil"/>
            </w:tcBorders>
            <w:shd w:val="clear" w:color="auto" w:fill="E9E9E9"/>
            <w:tcMar>
              <w:top w:w="150" w:type="dxa"/>
              <w:left w:w="150" w:type="dxa"/>
              <w:bottom w:w="150" w:type="dxa"/>
              <w:right w:w="150" w:type="dxa"/>
            </w:tcMar>
            <w:hideMark/>
          </w:tcPr>
          <w:p w14:paraId="7BA78F82"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Recipients of the data</w:t>
            </w:r>
          </w:p>
        </w:tc>
        <w:tc>
          <w:tcPr>
            <w:tcW w:w="0" w:type="auto"/>
            <w:tcBorders>
              <w:left w:val="single" w:sz="6" w:space="0" w:color="EEEFF0"/>
            </w:tcBorders>
            <w:shd w:val="clear" w:color="auto" w:fill="E9E9E9"/>
            <w:tcMar>
              <w:top w:w="150" w:type="dxa"/>
              <w:left w:w="150" w:type="dxa"/>
              <w:bottom w:w="150" w:type="dxa"/>
              <w:right w:w="150" w:type="dxa"/>
            </w:tcMar>
            <w:hideMark/>
          </w:tcPr>
          <w:p w14:paraId="42F2736E" w14:textId="7119084D" w:rsidR="00B41D9D" w:rsidRPr="00112EC3" w:rsidRDefault="00565CE9" w:rsidP="00565CE9">
            <w:pPr>
              <w:pStyle w:val="ListParagraph"/>
              <w:numPr>
                <w:ilvl w:val="0"/>
                <w:numId w:val="3"/>
              </w:numPr>
              <w:spacing w:after="0" w:line="240" w:lineRule="auto"/>
              <w:rPr>
                <w:rFonts w:ascii="Open Sans" w:eastAsia="Times New Roman" w:hAnsi="Open Sans" w:cs="Open Sans"/>
                <w:color w:val="2C3133"/>
                <w:sz w:val="20"/>
                <w:szCs w:val="20"/>
                <w:lang w:val="de-DE" w:eastAsia="hr-HR"/>
              </w:rPr>
            </w:pPr>
            <w:r w:rsidRPr="00112EC3">
              <w:rPr>
                <w:rFonts w:ascii="Open Sans" w:eastAsia="Times New Roman" w:hAnsi="Open Sans" w:cs="Open Sans"/>
                <w:color w:val="2C3133"/>
                <w:sz w:val="20"/>
                <w:szCs w:val="20"/>
                <w:lang w:val="de-DE" w:eastAsia="hr-HR"/>
              </w:rPr>
              <w:t>SICK MOBILISIS d.o.o.</w:t>
            </w:r>
          </w:p>
        </w:tc>
      </w:tr>
      <w:tr w:rsidR="00B41D9D" w:rsidRPr="00B41D9D" w14:paraId="7F5007E5" w14:textId="77777777" w:rsidTr="00B41D9D">
        <w:trPr>
          <w:tblCellSpacing w:w="15" w:type="dxa"/>
        </w:trPr>
        <w:tc>
          <w:tcPr>
            <w:tcW w:w="0" w:type="auto"/>
            <w:tcBorders>
              <w:left w:val="nil"/>
            </w:tcBorders>
            <w:shd w:val="clear" w:color="auto" w:fill="FFFFFF"/>
            <w:tcMar>
              <w:top w:w="150" w:type="dxa"/>
              <w:left w:w="150" w:type="dxa"/>
              <w:bottom w:w="150" w:type="dxa"/>
              <w:right w:w="150" w:type="dxa"/>
            </w:tcMar>
            <w:hideMark/>
          </w:tcPr>
          <w:p w14:paraId="2DB73EFF"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Transmission to third countries</w:t>
            </w:r>
          </w:p>
        </w:tc>
        <w:tc>
          <w:tcPr>
            <w:tcW w:w="0" w:type="auto"/>
            <w:tcBorders>
              <w:left w:val="single" w:sz="6" w:space="0" w:color="EEEFF0"/>
            </w:tcBorders>
            <w:shd w:val="clear" w:color="auto" w:fill="FFFFFF"/>
            <w:tcMar>
              <w:top w:w="150" w:type="dxa"/>
              <w:left w:w="150" w:type="dxa"/>
              <w:bottom w:w="150" w:type="dxa"/>
              <w:right w:w="150" w:type="dxa"/>
            </w:tcMar>
            <w:hideMark/>
          </w:tcPr>
          <w:p w14:paraId="69F88D42"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We do not transfer personal data to third countries.</w:t>
            </w:r>
          </w:p>
        </w:tc>
      </w:tr>
      <w:tr w:rsidR="00B41D9D" w:rsidRPr="00B41D9D" w14:paraId="75D083A7" w14:textId="77777777" w:rsidTr="00B41D9D">
        <w:trPr>
          <w:tblCellSpacing w:w="15" w:type="dxa"/>
        </w:trPr>
        <w:tc>
          <w:tcPr>
            <w:tcW w:w="0" w:type="auto"/>
            <w:tcBorders>
              <w:left w:val="nil"/>
            </w:tcBorders>
            <w:shd w:val="clear" w:color="auto" w:fill="E9E9E9"/>
            <w:tcMar>
              <w:top w:w="150" w:type="dxa"/>
              <w:left w:w="150" w:type="dxa"/>
              <w:bottom w:w="150" w:type="dxa"/>
              <w:right w:w="150" w:type="dxa"/>
            </w:tcMar>
            <w:hideMark/>
          </w:tcPr>
          <w:p w14:paraId="3C4BE41D"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Logic of automated decision-making</w:t>
            </w:r>
          </w:p>
        </w:tc>
        <w:tc>
          <w:tcPr>
            <w:tcW w:w="0" w:type="auto"/>
            <w:tcBorders>
              <w:left w:val="single" w:sz="6" w:space="0" w:color="EEEFF0"/>
            </w:tcBorders>
            <w:shd w:val="clear" w:color="auto" w:fill="E9E9E9"/>
            <w:tcMar>
              <w:top w:w="150" w:type="dxa"/>
              <w:left w:w="150" w:type="dxa"/>
              <w:bottom w:w="150" w:type="dxa"/>
              <w:right w:w="150" w:type="dxa"/>
            </w:tcMar>
            <w:hideMark/>
          </w:tcPr>
          <w:p w14:paraId="467AF331" w14:textId="77777777" w:rsidR="00B41D9D" w:rsidRPr="00B41D9D" w:rsidRDefault="00B41D9D" w:rsidP="00B41D9D">
            <w:pPr>
              <w:spacing w:after="0" w:line="240" w:lineRule="auto"/>
              <w:rPr>
                <w:rFonts w:ascii="Open Sans" w:eastAsia="Times New Roman" w:hAnsi="Open Sans" w:cs="Open Sans"/>
                <w:color w:val="2C3133"/>
                <w:sz w:val="20"/>
                <w:szCs w:val="20"/>
                <w:lang w:eastAsia="hr-HR"/>
              </w:rPr>
            </w:pPr>
            <w:r w:rsidRPr="00B41D9D">
              <w:rPr>
                <w:rFonts w:ascii="Open Sans" w:eastAsia="Times New Roman" w:hAnsi="Open Sans" w:cs="Open Sans"/>
                <w:color w:val="2C3133"/>
                <w:sz w:val="20"/>
                <w:szCs w:val="20"/>
                <w:lang w:eastAsia="hr-HR"/>
              </w:rPr>
              <w:t>We do not use automated decisions.</w:t>
            </w:r>
          </w:p>
        </w:tc>
      </w:tr>
    </w:tbl>
    <w:p w14:paraId="2201C862" w14:textId="77777777" w:rsidR="0087754B" w:rsidRDefault="0087754B" w:rsidP="00907126">
      <w:pPr>
        <w:rPr>
          <w:rFonts w:ascii="Open Sans" w:hAnsi="Open Sans" w:cs="Open Sans"/>
          <w:sz w:val="24"/>
          <w:szCs w:val="24"/>
        </w:rPr>
      </w:pPr>
    </w:p>
    <w:p w14:paraId="64C902CE" w14:textId="7F41FFDD" w:rsidR="00907126" w:rsidRPr="006D78CF" w:rsidRDefault="00AD643D" w:rsidP="00907126">
      <w:pPr>
        <w:rPr>
          <w:rFonts w:ascii="Open Sans" w:hAnsi="Open Sans" w:cs="Open Sans"/>
          <w:sz w:val="26"/>
          <w:szCs w:val="26"/>
        </w:rPr>
      </w:pPr>
      <w:r w:rsidRPr="006D78CF">
        <w:rPr>
          <w:rFonts w:ascii="Open Sans" w:hAnsi="Open Sans" w:cs="Open Sans"/>
          <w:sz w:val="26"/>
          <w:szCs w:val="26"/>
        </w:rPr>
        <w:lastRenderedPageBreak/>
        <w:t>Cookies</w:t>
      </w:r>
    </w:p>
    <w:p w14:paraId="74FC5FA4" w14:textId="10BC47C0" w:rsidR="00F020C9" w:rsidRPr="00F020C9" w:rsidRDefault="00F020C9" w:rsidP="00F020C9">
      <w:pPr>
        <w:jc w:val="both"/>
        <w:rPr>
          <w:rFonts w:ascii="Open Sans" w:hAnsi="Open Sans" w:cs="Open Sans"/>
        </w:rPr>
      </w:pPr>
      <w:r w:rsidRPr="00F020C9">
        <w:rPr>
          <w:rFonts w:ascii="Open Sans" w:hAnsi="Open Sans" w:cs="Open Sans"/>
          <w:color w:val="2C3133"/>
        </w:rPr>
        <w:t xml:space="preserve">When you visit our website, we store information in the form of a so-called “cookie” on your </w:t>
      </w:r>
      <w:r w:rsidR="0017570D">
        <w:rPr>
          <w:rFonts w:ascii="Open Sans" w:hAnsi="Open Sans" w:cs="Open Sans"/>
          <w:color w:val="2C3133"/>
        </w:rPr>
        <w:t>device</w:t>
      </w:r>
      <w:r w:rsidRPr="00F020C9">
        <w:rPr>
          <w:rFonts w:ascii="Open Sans" w:hAnsi="Open Sans" w:cs="Open Sans"/>
          <w:color w:val="2C3133"/>
        </w:rPr>
        <w:t xml:space="preserve">. </w:t>
      </w:r>
      <w:r>
        <w:rPr>
          <w:rFonts w:ascii="Open Sans" w:hAnsi="Open Sans" w:cs="Open Sans"/>
        </w:rPr>
        <w:t>Cookies allow us, for example,</w:t>
      </w:r>
      <w:r w:rsidR="00CF0F73">
        <w:rPr>
          <w:rFonts w:ascii="Open Sans" w:hAnsi="Open Sans" w:cs="Open Sans"/>
        </w:rPr>
        <w:t xml:space="preserve"> to adapt a website to your preferences.</w:t>
      </w:r>
      <w:r w:rsidRPr="00F020C9">
        <w:rPr>
          <w:rFonts w:ascii="Open Sans" w:hAnsi="Open Sans" w:cs="Open Sans"/>
        </w:rPr>
        <w:t xml:space="preserve"> Cookies may be temporary (stored for the duration of session), or permanent (stored for longer intervals and consecutive visits). </w:t>
      </w:r>
      <w:r w:rsidR="00AD643D" w:rsidRPr="00AD643D">
        <w:rPr>
          <w:rFonts w:ascii="Open Sans" w:hAnsi="Open Sans" w:cs="Open Sans"/>
        </w:rPr>
        <w:t xml:space="preserve">If you do not want us to recognize your </w:t>
      </w:r>
      <w:r w:rsidR="00637E98">
        <w:rPr>
          <w:rFonts w:ascii="Open Sans" w:hAnsi="Open Sans" w:cs="Open Sans"/>
        </w:rPr>
        <w:t>device</w:t>
      </w:r>
      <w:r w:rsidR="00AD643D" w:rsidRPr="00AD643D">
        <w:rPr>
          <w:rFonts w:ascii="Open Sans" w:hAnsi="Open Sans" w:cs="Open Sans"/>
        </w:rPr>
        <w:t xml:space="preserve">, please adjust the settings in your browser to delete the cookies from your </w:t>
      </w:r>
      <w:r w:rsidR="00637E98">
        <w:rPr>
          <w:rFonts w:ascii="Open Sans" w:hAnsi="Open Sans" w:cs="Open Sans"/>
        </w:rPr>
        <w:t>storage media or</w:t>
      </w:r>
      <w:r w:rsidR="00AD643D" w:rsidRPr="00AD643D">
        <w:rPr>
          <w:rFonts w:ascii="Open Sans" w:hAnsi="Open Sans" w:cs="Open Sans"/>
        </w:rPr>
        <w:t xml:space="preserve"> to block all cookies. To find out how this works, please refer to the instructions of your browser manufacturer. A change of these settings may result in limited use of the website functions</w:t>
      </w:r>
      <w:r w:rsidR="00AD643D">
        <w:rPr>
          <w:rFonts w:ascii="Open Sans" w:hAnsi="Open Sans" w:cs="Open Sans"/>
        </w:rPr>
        <w:t>.</w:t>
      </w:r>
    </w:p>
    <w:p w14:paraId="4C2645B2" w14:textId="734CA9B5" w:rsidR="00DC705A" w:rsidRPr="00DC705A" w:rsidRDefault="00CF0F73" w:rsidP="00DC705A">
      <w:pPr>
        <w:pStyle w:val="NormalWeb"/>
        <w:shd w:val="clear" w:color="auto" w:fill="FFFFFF"/>
        <w:spacing w:before="75" w:beforeAutospacing="0" w:after="240" w:afterAutospacing="0"/>
        <w:jc w:val="both"/>
        <w:rPr>
          <w:rFonts w:ascii="Open Sans" w:hAnsi="Open Sans" w:cs="Open Sans"/>
          <w:color w:val="2C3133"/>
          <w:sz w:val="22"/>
          <w:szCs w:val="22"/>
          <w:lang w:val="en-US"/>
        </w:rPr>
      </w:pPr>
      <w:r w:rsidRPr="00AD643D">
        <w:rPr>
          <w:rFonts w:ascii="Open Sans" w:hAnsi="Open Sans" w:cs="Open Sans"/>
          <w:color w:val="2C3133"/>
          <w:sz w:val="22"/>
          <w:szCs w:val="22"/>
          <w:lang w:val="en-US"/>
        </w:rPr>
        <w:t xml:space="preserve">We offer you the option to manage the setting of cookies of our website by using a </w:t>
      </w:r>
      <w:r w:rsidR="00AD643D" w:rsidRPr="00AD643D">
        <w:rPr>
          <w:rFonts w:ascii="Open Sans" w:hAnsi="Open Sans" w:cs="Open Sans"/>
          <w:color w:val="2C3133"/>
          <w:sz w:val="22"/>
          <w:szCs w:val="22"/>
          <w:lang w:val="en-US"/>
        </w:rPr>
        <w:t xml:space="preserve">Cookie Banner. </w:t>
      </w:r>
      <w:r w:rsidRPr="00AD643D">
        <w:rPr>
          <w:rFonts w:ascii="Open Sans" w:hAnsi="Open Sans" w:cs="Open Sans"/>
          <w:color w:val="2C3133"/>
          <w:sz w:val="22"/>
          <w:szCs w:val="22"/>
          <w:lang w:val="en-US"/>
        </w:rPr>
        <w:t xml:space="preserve">You can change your decision at any time and subsequently grant or revoke your consent. </w:t>
      </w:r>
    </w:p>
    <w:p w14:paraId="13C4DBF3" w14:textId="66EEF4C3" w:rsidR="007474DD" w:rsidRPr="006D78CF" w:rsidRDefault="007474DD" w:rsidP="007474DD">
      <w:pPr>
        <w:rPr>
          <w:rFonts w:ascii="Open Sans" w:hAnsi="Open Sans" w:cs="Open Sans"/>
          <w:sz w:val="26"/>
          <w:szCs w:val="26"/>
        </w:rPr>
      </w:pPr>
      <w:r w:rsidRPr="006D78CF">
        <w:rPr>
          <w:rFonts w:ascii="Open Sans" w:hAnsi="Open Sans" w:cs="Open Sans"/>
          <w:sz w:val="26"/>
          <w:szCs w:val="26"/>
        </w:rPr>
        <w:t>Third party websites</w:t>
      </w:r>
    </w:p>
    <w:p w14:paraId="09C734AC" w14:textId="3A38805A" w:rsidR="007474DD" w:rsidRPr="00637E98" w:rsidRDefault="007474DD" w:rsidP="00637E98">
      <w:pPr>
        <w:jc w:val="both"/>
        <w:rPr>
          <w:rFonts w:ascii="Open Sans" w:hAnsi="Open Sans" w:cs="Open Sans"/>
        </w:rPr>
      </w:pPr>
      <w:r w:rsidRPr="00637E98">
        <w:rPr>
          <w:rFonts w:ascii="Open Sans" w:hAnsi="Open Sans" w:cs="Open Sans"/>
        </w:rPr>
        <w:t xml:space="preserve">This website may contain hyperlinks to websites not controlled, </w:t>
      </w:r>
      <w:r w:rsidR="004454E7" w:rsidRPr="00637E98">
        <w:rPr>
          <w:rFonts w:ascii="Open Sans" w:hAnsi="Open Sans" w:cs="Open Sans"/>
        </w:rPr>
        <w:t>operated,</w:t>
      </w:r>
      <w:r w:rsidRPr="00637E98">
        <w:rPr>
          <w:rFonts w:ascii="Open Sans" w:hAnsi="Open Sans" w:cs="Open Sans"/>
        </w:rPr>
        <w:t xml:space="preserve"> or owned by SICK MOBILISIS</w:t>
      </w:r>
      <w:r w:rsidR="004454E7" w:rsidRPr="00637E98">
        <w:rPr>
          <w:rFonts w:ascii="Open Sans" w:hAnsi="Open Sans" w:cs="Open Sans"/>
        </w:rPr>
        <w:t xml:space="preserve"> d.o.o</w:t>
      </w:r>
      <w:r w:rsidRPr="00637E98">
        <w:rPr>
          <w:rFonts w:ascii="Open Sans" w:hAnsi="Open Sans" w:cs="Open Sans"/>
        </w:rPr>
        <w:t>. Such websites are subject to own privacy policies. SICK MOBILISIS</w:t>
      </w:r>
      <w:r w:rsidR="004454E7" w:rsidRPr="00637E98">
        <w:rPr>
          <w:rFonts w:ascii="Open Sans" w:hAnsi="Open Sans" w:cs="Open Sans"/>
        </w:rPr>
        <w:t xml:space="preserve"> d.o.o.</w:t>
      </w:r>
      <w:r w:rsidRPr="00637E98">
        <w:rPr>
          <w:rFonts w:ascii="Open Sans" w:hAnsi="Open Sans" w:cs="Open Sans"/>
        </w:rPr>
        <w:t xml:space="preserve"> is in no way responsible for contents on third party websites.</w:t>
      </w:r>
    </w:p>
    <w:p w14:paraId="23E741AB" w14:textId="1AEEC692" w:rsidR="00DC705A" w:rsidRPr="006D78CF" w:rsidRDefault="00DC705A" w:rsidP="00CC1366">
      <w:pPr>
        <w:spacing w:before="240"/>
        <w:rPr>
          <w:rFonts w:ascii="Open Sans" w:hAnsi="Open Sans" w:cs="Open Sans"/>
          <w:sz w:val="26"/>
          <w:szCs w:val="26"/>
        </w:rPr>
      </w:pPr>
      <w:r w:rsidRPr="006D78CF">
        <w:rPr>
          <w:rFonts w:ascii="Open Sans" w:hAnsi="Open Sans" w:cs="Open Sans"/>
          <w:sz w:val="26"/>
          <w:szCs w:val="26"/>
        </w:rPr>
        <w:t>Your rights</w:t>
      </w:r>
    </w:p>
    <w:p w14:paraId="55448CA1" w14:textId="15B03338" w:rsidR="00DC705A" w:rsidRDefault="00DC705A" w:rsidP="007474DD">
      <w:pPr>
        <w:rPr>
          <w:rFonts w:ascii="Open Sans" w:hAnsi="Open Sans" w:cs="Open Sans"/>
        </w:rPr>
      </w:pPr>
      <w:r>
        <w:rPr>
          <w:rFonts w:ascii="Open Sans" w:hAnsi="Open Sans" w:cs="Open Sans"/>
        </w:rPr>
        <w:t>You have the right to</w:t>
      </w:r>
    </w:p>
    <w:p w14:paraId="23A996F4" w14:textId="36AA3132" w:rsidR="00DC705A" w:rsidRDefault="00CC1366" w:rsidP="00DC705A">
      <w:pPr>
        <w:pStyle w:val="ListParagraph"/>
        <w:numPr>
          <w:ilvl w:val="0"/>
          <w:numId w:val="3"/>
        </w:numPr>
        <w:rPr>
          <w:rFonts w:ascii="Open Sans" w:hAnsi="Open Sans" w:cs="Open Sans"/>
        </w:rPr>
      </w:pPr>
      <w:r w:rsidRPr="00737AA6">
        <w:rPr>
          <w:rFonts w:ascii="Open Sans" w:hAnsi="Open Sans" w:cs="Open Sans"/>
          <w:b/>
          <w:bCs/>
        </w:rPr>
        <w:t>i</w:t>
      </w:r>
      <w:r w:rsidR="00DC705A" w:rsidRPr="00737AA6">
        <w:rPr>
          <w:rFonts w:ascii="Open Sans" w:hAnsi="Open Sans" w:cs="Open Sans"/>
          <w:b/>
          <w:bCs/>
        </w:rPr>
        <w:t>nformation</w:t>
      </w:r>
      <w:r w:rsidR="00DC705A">
        <w:rPr>
          <w:rFonts w:ascii="Open Sans" w:hAnsi="Open Sans" w:cs="Open Sans"/>
        </w:rPr>
        <w:t xml:space="preserve"> about personal data relating to you,</w:t>
      </w:r>
    </w:p>
    <w:p w14:paraId="4F694837" w14:textId="160C7786" w:rsidR="00DC705A" w:rsidRDefault="00CC1366" w:rsidP="00DC705A">
      <w:pPr>
        <w:pStyle w:val="ListParagraph"/>
        <w:numPr>
          <w:ilvl w:val="0"/>
          <w:numId w:val="3"/>
        </w:numPr>
        <w:rPr>
          <w:rFonts w:ascii="Open Sans" w:hAnsi="Open Sans" w:cs="Open Sans"/>
        </w:rPr>
      </w:pPr>
      <w:r w:rsidRPr="00737AA6">
        <w:rPr>
          <w:rFonts w:ascii="Open Sans" w:hAnsi="Open Sans" w:cs="Open Sans"/>
          <w:b/>
          <w:bCs/>
        </w:rPr>
        <w:t>c</w:t>
      </w:r>
      <w:r w:rsidR="00DC705A" w:rsidRPr="00737AA6">
        <w:rPr>
          <w:rFonts w:ascii="Open Sans" w:hAnsi="Open Sans" w:cs="Open Sans"/>
          <w:b/>
          <w:bCs/>
        </w:rPr>
        <w:t>orrect</w:t>
      </w:r>
      <w:r w:rsidR="00DC705A">
        <w:rPr>
          <w:rFonts w:ascii="Open Sans" w:hAnsi="Open Sans" w:cs="Open Sans"/>
        </w:rPr>
        <w:t xml:space="preserve"> personal data concerning you,</w:t>
      </w:r>
    </w:p>
    <w:p w14:paraId="3F77B501" w14:textId="206CA5E9" w:rsidR="00DC705A" w:rsidRDefault="00CC1366" w:rsidP="00DC705A">
      <w:pPr>
        <w:pStyle w:val="ListParagraph"/>
        <w:numPr>
          <w:ilvl w:val="0"/>
          <w:numId w:val="3"/>
        </w:numPr>
        <w:rPr>
          <w:rFonts w:ascii="Open Sans" w:hAnsi="Open Sans" w:cs="Open Sans"/>
        </w:rPr>
      </w:pPr>
      <w:r w:rsidRPr="00737AA6">
        <w:rPr>
          <w:rFonts w:ascii="Open Sans" w:hAnsi="Open Sans" w:cs="Open Sans"/>
          <w:b/>
          <w:bCs/>
        </w:rPr>
        <w:t>d</w:t>
      </w:r>
      <w:r w:rsidR="00DC705A" w:rsidRPr="00737AA6">
        <w:rPr>
          <w:rFonts w:ascii="Open Sans" w:hAnsi="Open Sans" w:cs="Open Sans"/>
          <w:b/>
          <w:bCs/>
        </w:rPr>
        <w:t>elete</w:t>
      </w:r>
      <w:r w:rsidR="00DC705A">
        <w:rPr>
          <w:rFonts w:ascii="Open Sans" w:hAnsi="Open Sans" w:cs="Open Sans"/>
        </w:rPr>
        <w:t xml:space="preserve"> or </w:t>
      </w:r>
      <w:r w:rsidR="00DC705A" w:rsidRPr="00737AA6">
        <w:rPr>
          <w:rFonts w:ascii="Open Sans" w:hAnsi="Open Sans" w:cs="Open Sans"/>
          <w:b/>
          <w:bCs/>
        </w:rPr>
        <w:t>block</w:t>
      </w:r>
      <w:r w:rsidR="00DC705A">
        <w:rPr>
          <w:rFonts w:ascii="Open Sans" w:hAnsi="Open Sans" w:cs="Open Sans"/>
        </w:rPr>
        <w:t xml:space="preserve"> personal data concerning you,</w:t>
      </w:r>
    </w:p>
    <w:p w14:paraId="5C21CF9C" w14:textId="1BB1855B" w:rsidR="00DC705A" w:rsidRDefault="00CC1366" w:rsidP="00DC705A">
      <w:pPr>
        <w:pStyle w:val="ListParagraph"/>
        <w:numPr>
          <w:ilvl w:val="0"/>
          <w:numId w:val="3"/>
        </w:numPr>
        <w:rPr>
          <w:rFonts w:ascii="Open Sans" w:hAnsi="Open Sans" w:cs="Open Sans"/>
        </w:rPr>
      </w:pPr>
      <w:r w:rsidRPr="006D78CF">
        <w:rPr>
          <w:rFonts w:ascii="Open Sans" w:hAnsi="Open Sans" w:cs="Open Sans"/>
          <w:b/>
          <w:bCs/>
        </w:rPr>
        <w:t>o</w:t>
      </w:r>
      <w:r w:rsidR="00DC705A" w:rsidRPr="006D78CF">
        <w:rPr>
          <w:rFonts w:ascii="Open Sans" w:hAnsi="Open Sans" w:cs="Open Sans"/>
          <w:b/>
          <w:bCs/>
        </w:rPr>
        <w:t>bject</w:t>
      </w:r>
      <w:r w:rsidR="00DC705A">
        <w:rPr>
          <w:rFonts w:ascii="Open Sans" w:hAnsi="Open Sans" w:cs="Open Sans"/>
        </w:rPr>
        <w:t xml:space="preserve"> to the processing of personal data concerning you,</w:t>
      </w:r>
    </w:p>
    <w:p w14:paraId="360E2ECE" w14:textId="6539E23E" w:rsidR="00DC705A" w:rsidRDefault="00CC1366" w:rsidP="00DC705A">
      <w:pPr>
        <w:pStyle w:val="ListParagraph"/>
        <w:numPr>
          <w:ilvl w:val="0"/>
          <w:numId w:val="3"/>
        </w:numPr>
        <w:rPr>
          <w:rFonts w:ascii="Open Sans" w:hAnsi="Open Sans" w:cs="Open Sans"/>
        </w:rPr>
      </w:pPr>
      <w:r>
        <w:rPr>
          <w:rFonts w:ascii="Open Sans" w:hAnsi="Open Sans" w:cs="Open Sans"/>
        </w:rPr>
        <w:t>t</w:t>
      </w:r>
      <w:r w:rsidR="00DC705A">
        <w:rPr>
          <w:rFonts w:ascii="Open Sans" w:hAnsi="Open Sans" w:cs="Open Sans"/>
        </w:rPr>
        <w:t xml:space="preserve">he </w:t>
      </w:r>
      <w:r w:rsidR="00DC705A" w:rsidRPr="006D78CF">
        <w:rPr>
          <w:rFonts w:ascii="Open Sans" w:hAnsi="Open Sans" w:cs="Open Sans"/>
          <w:b/>
          <w:bCs/>
        </w:rPr>
        <w:t>portability</w:t>
      </w:r>
      <w:r w:rsidR="00DC705A">
        <w:rPr>
          <w:rFonts w:ascii="Open Sans" w:hAnsi="Open Sans" w:cs="Open Sans"/>
        </w:rPr>
        <w:t xml:space="preserve"> of personal data concerning you,</w:t>
      </w:r>
    </w:p>
    <w:p w14:paraId="5AF996CD" w14:textId="10B8DCBA" w:rsidR="00DC705A" w:rsidRDefault="00CC1366" w:rsidP="00DC705A">
      <w:pPr>
        <w:pStyle w:val="ListParagraph"/>
        <w:numPr>
          <w:ilvl w:val="0"/>
          <w:numId w:val="3"/>
        </w:numPr>
        <w:rPr>
          <w:rFonts w:ascii="Open Sans" w:hAnsi="Open Sans" w:cs="Open Sans"/>
        </w:rPr>
      </w:pPr>
      <w:r w:rsidRPr="006D78CF">
        <w:rPr>
          <w:rFonts w:ascii="Open Sans" w:hAnsi="Open Sans" w:cs="Open Sans"/>
          <w:b/>
          <w:bCs/>
        </w:rPr>
        <w:t>r</w:t>
      </w:r>
      <w:r w:rsidR="00DC705A" w:rsidRPr="006D78CF">
        <w:rPr>
          <w:rFonts w:ascii="Open Sans" w:hAnsi="Open Sans" w:cs="Open Sans"/>
          <w:b/>
          <w:bCs/>
        </w:rPr>
        <w:t>evoke your consent</w:t>
      </w:r>
      <w:r w:rsidR="00DC705A">
        <w:rPr>
          <w:rFonts w:ascii="Open Sans" w:hAnsi="Open Sans" w:cs="Open Sans"/>
        </w:rPr>
        <w:t xml:space="preserve"> with effect for the future, provided that a processing of personal data concerning you is based on your consent, and</w:t>
      </w:r>
    </w:p>
    <w:p w14:paraId="3DE0832D" w14:textId="3E9BFC1E" w:rsidR="00DC705A" w:rsidRPr="00CC1366" w:rsidRDefault="00CC1366" w:rsidP="00DC705A">
      <w:pPr>
        <w:pStyle w:val="ListParagraph"/>
        <w:numPr>
          <w:ilvl w:val="0"/>
          <w:numId w:val="3"/>
        </w:numPr>
        <w:jc w:val="both"/>
        <w:rPr>
          <w:rFonts w:ascii="Open Sans" w:hAnsi="Open Sans" w:cs="Open Sans"/>
        </w:rPr>
      </w:pPr>
      <w:r w:rsidRPr="006D78CF">
        <w:rPr>
          <w:rFonts w:ascii="Open Sans" w:hAnsi="Open Sans" w:cs="Open Sans"/>
          <w:b/>
          <w:bCs/>
        </w:rPr>
        <w:t>l</w:t>
      </w:r>
      <w:r w:rsidR="00DC705A" w:rsidRPr="006D78CF">
        <w:rPr>
          <w:rFonts w:ascii="Open Sans" w:hAnsi="Open Sans" w:cs="Open Sans"/>
          <w:b/>
          <w:bCs/>
        </w:rPr>
        <w:t>odge a complaint</w:t>
      </w:r>
      <w:r w:rsidR="00DC705A">
        <w:rPr>
          <w:rFonts w:ascii="Open Sans" w:hAnsi="Open Sans" w:cs="Open Sans"/>
        </w:rPr>
        <w:t xml:space="preserve"> with a data protection supervisory authority, if you believe that the </w:t>
      </w:r>
      <w:r w:rsidR="00DC705A" w:rsidRPr="00CC1366">
        <w:rPr>
          <w:rFonts w:ascii="Open Sans" w:hAnsi="Open Sans" w:cs="Open Sans"/>
        </w:rPr>
        <w:t>processing of personal data relating to you infringes privacy laws.</w:t>
      </w:r>
    </w:p>
    <w:p w14:paraId="5B1DC4C0" w14:textId="7C3DF908" w:rsidR="00DC705A" w:rsidRPr="00CC1366" w:rsidRDefault="00DC705A" w:rsidP="00DC705A">
      <w:pPr>
        <w:pStyle w:val="NormalWeb"/>
        <w:shd w:val="clear" w:color="auto" w:fill="FFFFFF"/>
        <w:spacing w:before="75" w:beforeAutospacing="0" w:after="240" w:afterAutospacing="0"/>
        <w:jc w:val="both"/>
        <w:rPr>
          <w:rFonts w:ascii="Open Sans" w:hAnsi="Open Sans" w:cs="Open Sans"/>
          <w:color w:val="2C3133"/>
          <w:sz w:val="22"/>
          <w:szCs w:val="22"/>
          <w:lang w:val="en-US"/>
        </w:rPr>
      </w:pPr>
      <w:r w:rsidRPr="00CC1366">
        <w:rPr>
          <w:rFonts w:ascii="Open Sans" w:hAnsi="Open Sans" w:cs="Open Sans"/>
          <w:color w:val="2C3133"/>
          <w:sz w:val="22"/>
          <w:szCs w:val="22"/>
          <w:lang w:val="en-US"/>
        </w:rPr>
        <w:t xml:space="preserve">If you would like to exercise any of your rights under this Privacy </w:t>
      </w:r>
      <w:r w:rsidR="00FC7781">
        <w:rPr>
          <w:rFonts w:ascii="Open Sans" w:hAnsi="Open Sans" w:cs="Open Sans"/>
          <w:color w:val="2C3133"/>
          <w:sz w:val="22"/>
          <w:szCs w:val="22"/>
          <w:lang w:val="en-US"/>
        </w:rPr>
        <w:t>p</w:t>
      </w:r>
      <w:r w:rsidRPr="00CC1366">
        <w:rPr>
          <w:rFonts w:ascii="Open Sans" w:hAnsi="Open Sans" w:cs="Open Sans"/>
          <w:color w:val="2C3133"/>
          <w:sz w:val="22"/>
          <w:szCs w:val="22"/>
          <w:lang w:val="en-US"/>
        </w:rPr>
        <w:t>olicy or at law or have any other questions about privacy-related issues, you should contact our Data Protection Officer at the email address below. We will provide an appropriate response to all requests.</w:t>
      </w:r>
    </w:p>
    <w:p w14:paraId="46CA9FD2" w14:textId="77777777" w:rsidR="00DC705A" w:rsidRPr="00CC1366" w:rsidRDefault="00DC705A" w:rsidP="00CC1366">
      <w:pPr>
        <w:pStyle w:val="NormalWeb"/>
        <w:shd w:val="clear" w:color="auto" w:fill="FFFFFF"/>
        <w:spacing w:before="75" w:beforeAutospacing="0" w:after="0" w:afterAutospacing="0"/>
        <w:rPr>
          <w:rFonts w:ascii="Open Sans" w:hAnsi="Open Sans" w:cs="Open Sans"/>
          <w:color w:val="2C3133"/>
          <w:sz w:val="22"/>
          <w:szCs w:val="22"/>
        </w:rPr>
      </w:pPr>
      <w:r w:rsidRPr="00CC1366">
        <w:rPr>
          <w:rFonts w:ascii="Open Sans" w:hAnsi="Open Sans" w:cs="Open Sans"/>
          <w:color w:val="2C3133"/>
          <w:sz w:val="22"/>
          <w:szCs w:val="22"/>
        </w:rPr>
        <w:t>SICK MOBILISIS d.o.o.</w:t>
      </w:r>
    </w:p>
    <w:p w14:paraId="314C1AE6" w14:textId="77777777" w:rsidR="00DC705A" w:rsidRPr="00CC1366" w:rsidRDefault="00DC705A" w:rsidP="00CC1366">
      <w:pPr>
        <w:pStyle w:val="NormalWeb"/>
        <w:shd w:val="clear" w:color="auto" w:fill="FFFFFF"/>
        <w:spacing w:before="75" w:beforeAutospacing="0" w:after="0" w:afterAutospacing="0"/>
        <w:rPr>
          <w:rFonts w:ascii="Open Sans" w:hAnsi="Open Sans" w:cs="Open Sans"/>
          <w:color w:val="2C3133"/>
          <w:sz w:val="22"/>
          <w:szCs w:val="22"/>
        </w:rPr>
      </w:pPr>
      <w:r w:rsidRPr="00CC1366">
        <w:rPr>
          <w:rFonts w:ascii="Open Sans" w:hAnsi="Open Sans" w:cs="Open Sans"/>
          <w:color w:val="2C3133"/>
          <w:sz w:val="22"/>
          <w:szCs w:val="22"/>
        </w:rPr>
        <w:t>Varaždinska ulica – Odvojak II 7</w:t>
      </w:r>
    </w:p>
    <w:p w14:paraId="4EEA6B0D" w14:textId="77777777" w:rsidR="00DC705A" w:rsidRPr="00112EC3" w:rsidRDefault="00DC705A" w:rsidP="00CC1366">
      <w:pPr>
        <w:pStyle w:val="NormalWeb"/>
        <w:shd w:val="clear" w:color="auto" w:fill="FFFFFF"/>
        <w:spacing w:before="75" w:beforeAutospacing="0" w:after="0" w:afterAutospacing="0"/>
        <w:rPr>
          <w:rFonts w:ascii="Open Sans" w:hAnsi="Open Sans" w:cs="Open Sans"/>
          <w:color w:val="2C3133"/>
          <w:sz w:val="22"/>
          <w:szCs w:val="22"/>
        </w:rPr>
      </w:pPr>
      <w:r w:rsidRPr="00CC1366">
        <w:rPr>
          <w:rFonts w:ascii="Open Sans" w:hAnsi="Open Sans" w:cs="Open Sans"/>
          <w:color w:val="2C3133"/>
          <w:sz w:val="22"/>
          <w:szCs w:val="22"/>
        </w:rPr>
        <w:t>42000 Jalkovec (Grad Varaždin</w:t>
      </w:r>
      <w:r w:rsidRPr="00112EC3">
        <w:rPr>
          <w:rFonts w:ascii="Open Sans" w:hAnsi="Open Sans" w:cs="Open Sans"/>
          <w:color w:val="2C3133"/>
          <w:sz w:val="22"/>
          <w:szCs w:val="22"/>
        </w:rPr>
        <w:t>)</w:t>
      </w:r>
    </w:p>
    <w:p w14:paraId="6B59FA7A" w14:textId="77777777" w:rsidR="00DC705A" w:rsidRPr="00CC1366" w:rsidRDefault="00DC705A" w:rsidP="00CC1366">
      <w:pPr>
        <w:pStyle w:val="NormalWeb"/>
        <w:shd w:val="clear" w:color="auto" w:fill="FFFFFF"/>
        <w:spacing w:before="75" w:beforeAutospacing="0" w:after="0" w:afterAutospacing="0"/>
        <w:rPr>
          <w:rFonts w:ascii="Open Sans" w:hAnsi="Open Sans" w:cs="Open Sans"/>
          <w:color w:val="2C3133"/>
          <w:sz w:val="22"/>
          <w:szCs w:val="22"/>
          <w:lang w:val="en-US"/>
        </w:rPr>
      </w:pPr>
      <w:r w:rsidRPr="00CC1366">
        <w:rPr>
          <w:rFonts w:ascii="Open Sans" w:hAnsi="Open Sans" w:cs="Open Sans"/>
          <w:color w:val="2C3133"/>
          <w:sz w:val="22"/>
          <w:szCs w:val="22"/>
          <w:lang w:val="en-US"/>
        </w:rPr>
        <w:t>Croatia</w:t>
      </w:r>
    </w:p>
    <w:p w14:paraId="740FC807" w14:textId="360CF291" w:rsidR="00CC1366" w:rsidRDefault="00000000" w:rsidP="00DC705A">
      <w:pPr>
        <w:pStyle w:val="NormalWeb"/>
        <w:shd w:val="clear" w:color="auto" w:fill="FFFFFF"/>
        <w:spacing w:before="75" w:beforeAutospacing="0" w:after="240" w:afterAutospacing="0"/>
        <w:rPr>
          <w:rFonts w:ascii="Open Sans" w:hAnsi="Open Sans" w:cs="Open Sans"/>
          <w:sz w:val="20"/>
          <w:szCs w:val="20"/>
        </w:rPr>
      </w:pPr>
      <w:hyperlink r:id="rId5" w:history="1">
        <w:r w:rsidR="00CC1366" w:rsidRPr="00790046">
          <w:rPr>
            <w:rStyle w:val="Hyperlink"/>
            <w:rFonts w:ascii="Open Sans" w:hAnsi="Open Sans" w:cs="Open Sans"/>
            <w:sz w:val="20"/>
            <w:szCs w:val="20"/>
          </w:rPr>
          <w:t>zastita-op@mobilisis.hr</w:t>
        </w:r>
      </w:hyperlink>
    </w:p>
    <w:p w14:paraId="3A3C6408" w14:textId="284B4FFB" w:rsidR="007474DD" w:rsidRPr="006D78CF" w:rsidRDefault="00DC705A" w:rsidP="00CC1366">
      <w:pPr>
        <w:pStyle w:val="NormalWeb"/>
        <w:shd w:val="clear" w:color="auto" w:fill="FFFFFF"/>
        <w:spacing w:before="75" w:beforeAutospacing="0" w:after="240" w:afterAutospacing="0"/>
        <w:rPr>
          <w:rFonts w:ascii="Open Sans" w:hAnsi="Open Sans" w:cs="Open Sans"/>
          <w:sz w:val="26"/>
          <w:szCs w:val="26"/>
          <w:lang w:val="en-US"/>
        </w:rPr>
      </w:pPr>
      <w:r w:rsidRPr="00CC1366">
        <w:rPr>
          <w:rFonts w:ascii="Open Sans" w:hAnsi="Open Sans" w:cs="Open Sans"/>
          <w:color w:val="2C3133"/>
          <w:sz w:val="21"/>
          <w:szCs w:val="21"/>
          <w:lang w:val="en-US"/>
        </w:rPr>
        <w:lastRenderedPageBreak/>
        <w:br/>
      </w:r>
      <w:r w:rsidR="007474DD" w:rsidRPr="006D78CF">
        <w:rPr>
          <w:rFonts w:ascii="Open Sans" w:hAnsi="Open Sans" w:cs="Open Sans"/>
          <w:sz w:val="26"/>
          <w:szCs w:val="26"/>
          <w:lang w:val="en-US"/>
        </w:rPr>
        <w:t xml:space="preserve">Amendments to the </w:t>
      </w:r>
      <w:r w:rsidR="00CC1366" w:rsidRPr="006D78CF">
        <w:rPr>
          <w:rFonts w:ascii="Open Sans" w:hAnsi="Open Sans" w:cs="Open Sans"/>
          <w:sz w:val="26"/>
          <w:szCs w:val="26"/>
          <w:lang w:val="en-US"/>
        </w:rPr>
        <w:t>p</w:t>
      </w:r>
      <w:r w:rsidR="007474DD" w:rsidRPr="006D78CF">
        <w:rPr>
          <w:rFonts w:ascii="Open Sans" w:hAnsi="Open Sans" w:cs="Open Sans"/>
          <w:sz w:val="26"/>
          <w:szCs w:val="26"/>
          <w:lang w:val="en-US"/>
        </w:rPr>
        <w:t>rivacy policy</w:t>
      </w:r>
    </w:p>
    <w:p w14:paraId="70DC8E73" w14:textId="691BE391" w:rsidR="007474DD" w:rsidRPr="00CC1366" w:rsidRDefault="00CC1366" w:rsidP="00CC1366">
      <w:pPr>
        <w:jc w:val="both"/>
        <w:rPr>
          <w:rFonts w:ascii="Open Sans" w:hAnsi="Open Sans" w:cs="Open Sans"/>
        </w:rPr>
      </w:pPr>
      <w:r w:rsidRPr="00CC1366">
        <w:rPr>
          <w:rFonts w:ascii="Open Sans" w:hAnsi="Open Sans" w:cs="Open Sans"/>
        </w:rPr>
        <w:t xml:space="preserve">We reserve the right to amend this Privacy </w:t>
      </w:r>
      <w:r w:rsidR="00FC7781">
        <w:rPr>
          <w:rFonts w:ascii="Open Sans" w:hAnsi="Open Sans" w:cs="Open Sans"/>
        </w:rPr>
        <w:t>p</w:t>
      </w:r>
      <w:r w:rsidRPr="00CC1366">
        <w:rPr>
          <w:rFonts w:ascii="Open Sans" w:hAnsi="Open Sans" w:cs="Open Sans"/>
        </w:rPr>
        <w:t xml:space="preserve">olicy at any time to </w:t>
      </w:r>
      <w:proofErr w:type="gramStart"/>
      <w:r w:rsidR="005350D0">
        <w:rPr>
          <w:rFonts w:ascii="Open Sans" w:hAnsi="Open Sans" w:cs="Open Sans"/>
        </w:rPr>
        <w:t>take into account</w:t>
      </w:r>
      <w:proofErr w:type="gramEnd"/>
      <w:r w:rsidRPr="00CC1366">
        <w:rPr>
          <w:rFonts w:ascii="Open Sans" w:hAnsi="Open Sans" w:cs="Open Sans"/>
        </w:rPr>
        <w:t xml:space="preserve"> new laws, changes to our operations and practices or changes in the business environment and technology. All modifications will be effective immediately upon our posting of the modification on our website. Please check back from time to time to review our Privacy </w:t>
      </w:r>
      <w:r w:rsidR="00FC7781">
        <w:rPr>
          <w:rFonts w:ascii="Open Sans" w:hAnsi="Open Sans" w:cs="Open Sans"/>
        </w:rPr>
        <w:t>p</w:t>
      </w:r>
      <w:r w:rsidRPr="00CC1366">
        <w:rPr>
          <w:rFonts w:ascii="Open Sans" w:hAnsi="Open Sans" w:cs="Open Sans"/>
        </w:rPr>
        <w:t>olicy.</w:t>
      </w:r>
    </w:p>
    <w:sectPr w:rsidR="007474DD" w:rsidRPr="00CC13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1F"/>
    <w:multiLevelType w:val="hybridMultilevel"/>
    <w:tmpl w:val="D2382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780B1A"/>
    <w:multiLevelType w:val="multilevel"/>
    <w:tmpl w:val="365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038F3"/>
    <w:multiLevelType w:val="hybridMultilevel"/>
    <w:tmpl w:val="DA44EA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D7616B1"/>
    <w:multiLevelType w:val="multilevel"/>
    <w:tmpl w:val="85BE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381278">
    <w:abstractNumId w:val="1"/>
  </w:num>
  <w:num w:numId="2" w16cid:durableId="92287794">
    <w:abstractNumId w:val="3"/>
  </w:num>
  <w:num w:numId="3" w16cid:durableId="1783567728">
    <w:abstractNumId w:val="2"/>
  </w:num>
  <w:num w:numId="4" w16cid:durableId="174020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DD"/>
    <w:rsid w:val="00112EC3"/>
    <w:rsid w:val="0017570D"/>
    <w:rsid w:val="004454E7"/>
    <w:rsid w:val="005350D0"/>
    <w:rsid w:val="00565CE9"/>
    <w:rsid w:val="005725F0"/>
    <w:rsid w:val="00637E98"/>
    <w:rsid w:val="006D78CF"/>
    <w:rsid w:val="00737AA6"/>
    <w:rsid w:val="007474DD"/>
    <w:rsid w:val="0087754B"/>
    <w:rsid w:val="00907126"/>
    <w:rsid w:val="00AD643D"/>
    <w:rsid w:val="00B30F65"/>
    <w:rsid w:val="00B41D9D"/>
    <w:rsid w:val="00B87C53"/>
    <w:rsid w:val="00C20E83"/>
    <w:rsid w:val="00C62FEF"/>
    <w:rsid w:val="00CC1366"/>
    <w:rsid w:val="00CF0F73"/>
    <w:rsid w:val="00DA66D6"/>
    <w:rsid w:val="00DC705A"/>
    <w:rsid w:val="00E42220"/>
    <w:rsid w:val="00E67F77"/>
    <w:rsid w:val="00F020C9"/>
    <w:rsid w:val="00FC7781"/>
    <w:rsid w:val="00FC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56A0"/>
  <w15:chartTrackingRefBased/>
  <w15:docId w15:val="{4BE83F00-6728-4524-BAEB-E258788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CE9"/>
    <w:pPr>
      <w:ind w:left="720"/>
      <w:contextualSpacing/>
    </w:pPr>
  </w:style>
  <w:style w:type="paragraph" w:styleId="NormalWeb">
    <w:name w:val="Normal (Web)"/>
    <w:basedOn w:val="Normal"/>
    <w:uiPriority w:val="99"/>
    <w:unhideWhenUsed/>
    <w:rsid w:val="00F020C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DC705A"/>
    <w:rPr>
      <w:color w:val="0000FF"/>
      <w:u w:val="single"/>
    </w:rPr>
  </w:style>
  <w:style w:type="character" w:styleId="UnresolvedMention">
    <w:name w:val="Unresolved Mention"/>
    <w:basedOn w:val="DefaultParagraphFont"/>
    <w:uiPriority w:val="99"/>
    <w:semiHidden/>
    <w:unhideWhenUsed/>
    <w:rsid w:val="00CC1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0568">
      <w:bodyDiv w:val="1"/>
      <w:marLeft w:val="0"/>
      <w:marRight w:val="0"/>
      <w:marTop w:val="0"/>
      <w:marBottom w:val="0"/>
      <w:divBdr>
        <w:top w:val="none" w:sz="0" w:space="0" w:color="auto"/>
        <w:left w:val="none" w:sz="0" w:space="0" w:color="auto"/>
        <w:bottom w:val="none" w:sz="0" w:space="0" w:color="auto"/>
        <w:right w:val="none" w:sz="0" w:space="0" w:color="auto"/>
      </w:divBdr>
    </w:div>
    <w:div w:id="799224377">
      <w:bodyDiv w:val="1"/>
      <w:marLeft w:val="0"/>
      <w:marRight w:val="0"/>
      <w:marTop w:val="0"/>
      <w:marBottom w:val="0"/>
      <w:divBdr>
        <w:top w:val="none" w:sz="0" w:space="0" w:color="auto"/>
        <w:left w:val="none" w:sz="0" w:space="0" w:color="auto"/>
        <w:bottom w:val="none" w:sz="0" w:space="0" w:color="auto"/>
        <w:right w:val="none" w:sz="0" w:space="0" w:color="auto"/>
      </w:divBdr>
    </w:div>
    <w:div w:id="809904423">
      <w:bodyDiv w:val="1"/>
      <w:marLeft w:val="0"/>
      <w:marRight w:val="0"/>
      <w:marTop w:val="0"/>
      <w:marBottom w:val="0"/>
      <w:divBdr>
        <w:top w:val="none" w:sz="0" w:space="0" w:color="auto"/>
        <w:left w:val="none" w:sz="0" w:space="0" w:color="auto"/>
        <w:bottom w:val="none" w:sz="0" w:space="0" w:color="auto"/>
        <w:right w:val="none" w:sz="0" w:space="0" w:color="auto"/>
      </w:divBdr>
    </w:div>
    <w:div w:id="1432432463">
      <w:bodyDiv w:val="1"/>
      <w:marLeft w:val="0"/>
      <w:marRight w:val="0"/>
      <w:marTop w:val="0"/>
      <w:marBottom w:val="0"/>
      <w:divBdr>
        <w:top w:val="none" w:sz="0" w:space="0" w:color="auto"/>
        <w:left w:val="none" w:sz="0" w:space="0" w:color="auto"/>
        <w:bottom w:val="none" w:sz="0" w:space="0" w:color="auto"/>
        <w:right w:val="none" w:sz="0" w:space="0" w:color="auto"/>
      </w:divBdr>
      <w:divsChild>
        <w:div w:id="1334258614">
          <w:marLeft w:val="0"/>
          <w:marRight w:val="0"/>
          <w:marTop w:val="240"/>
          <w:marBottom w:val="0"/>
          <w:divBdr>
            <w:top w:val="none" w:sz="0" w:space="0" w:color="auto"/>
            <w:left w:val="none" w:sz="0" w:space="0" w:color="auto"/>
            <w:bottom w:val="none" w:sz="0" w:space="0" w:color="auto"/>
            <w:right w:val="none" w:sz="0" w:space="0" w:color="auto"/>
          </w:divBdr>
          <w:divsChild>
            <w:div w:id="1400403414">
              <w:marLeft w:val="0"/>
              <w:marRight w:val="0"/>
              <w:marTop w:val="0"/>
              <w:marBottom w:val="0"/>
              <w:divBdr>
                <w:top w:val="none" w:sz="0" w:space="0" w:color="auto"/>
                <w:left w:val="none" w:sz="0" w:space="0" w:color="auto"/>
                <w:bottom w:val="none" w:sz="0" w:space="0" w:color="auto"/>
                <w:right w:val="none" w:sz="0" w:space="0" w:color="auto"/>
              </w:divBdr>
              <w:divsChild>
                <w:div w:id="435904888">
                  <w:marLeft w:val="0"/>
                  <w:marRight w:val="0"/>
                  <w:marTop w:val="0"/>
                  <w:marBottom w:val="0"/>
                  <w:divBdr>
                    <w:top w:val="none" w:sz="0" w:space="0" w:color="auto"/>
                    <w:left w:val="none" w:sz="0" w:space="0" w:color="auto"/>
                    <w:bottom w:val="none" w:sz="0" w:space="0" w:color="auto"/>
                    <w:right w:val="none" w:sz="0" w:space="0" w:color="auto"/>
                  </w:divBdr>
                  <w:divsChild>
                    <w:div w:id="12123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5672">
          <w:marLeft w:val="0"/>
          <w:marRight w:val="0"/>
          <w:marTop w:val="240"/>
          <w:marBottom w:val="0"/>
          <w:divBdr>
            <w:top w:val="none" w:sz="0" w:space="0" w:color="auto"/>
            <w:left w:val="none" w:sz="0" w:space="0" w:color="auto"/>
            <w:bottom w:val="none" w:sz="0" w:space="0" w:color="auto"/>
            <w:right w:val="none" w:sz="0" w:space="0" w:color="auto"/>
          </w:divBdr>
          <w:divsChild>
            <w:div w:id="1849827648">
              <w:marLeft w:val="0"/>
              <w:marRight w:val="0"/>
              <w:marTop w:val="0"/>
              <w:marBottom w:val="0"/>
              <w:divBdr>
                <w:top w:val="none" w:sz="0" w:space="0" w:color="auto"/>
                <w:left w:val="none" w:sz="0" w:space="0" w:color="auto"/>
                <w:bottom w:val="none" w:sz="0" w:space="0" w:color="auto"/>
                <w:right w:val="none" w:sz="0" w:space="0" w:color="auto"/>
              </w:divBdr>
              <w:divsChild>
                <w:div w:id="105470088">
                  <w:marLeft w:val="0"/>
                  <w:marRight w:val="0"/>
                  <w:marTop w:val="0"/>
                  <w:marBottom w:val="0"/>
                  <w:divBdr>
                    <w:top w:val="none" w:sz="0" w:space="0" w:color="auto"/>
                    <w:left w:val="none" w:sz="0" w:space="0" w:color="auto"/>
                    <w:bottom w:val="none" w:sz="0" w:space="0" w:color="auto"/>
                    <w:right w:val="none" w:sz="0" w:space="0" w:color="auto"/>
                  </w:divBdr>
                  <w:divsChild>
                    <w:div w:id="1539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stita-op@mobilisi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Mobilisis d.o.o</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Skupnjak</dc:creator>
  <cp:keywords/>
  <dc:description/>
  <cp:lastModifiedBy>Ivana Skupnjak</cp:lastModifiedBy>
  <cp:revision>8</cp:revision>
  <dcterms:created xsi:type="dcterms:W3CDTF">2023-09-12T11:00:00Z</dcterms:created>
  <dcterms:modified xsi:type="dcterms:W3CDTF">2023-09-14T10:16:00Z</dcterms:modified>
</cp:coreProperties>
</file>